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277552" w14:paraId="09AEC71B" w14:textId="77777777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</w:tcPr>
          <w:p w14:paraId="28100579" w14:textId="77777777" w:rsidR="00277552" w:rsidRDefault="001D68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277552" w14:paraId="0892855C" w14:textId="77777777">
        <w:trPr>
          <w:trHeight w:val="330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</w:tcPr>
          <w:p w14:paraId="1119099D" w14:textId="77777777" w:rsidR="00277552" w:rsidRDefault="001D68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277552" w14:paraId="32E1810D" w14:textId="77777777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7812CC2C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42FA534" w14:textId="611EBB15" w:rsidR="00277552" w:rsidRDefault="001D68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OHL41900003</w:t>
            </w:r>
          </w:p>
        </w:tc>
      </w:tr>
      <w:tr w:rsidR="00277552" w14:paraId="3069C84A" w14:textId="77777777">
        <w:trPr>
          <w:trHeight w:val="299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10209C4D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</w:tcPr>
          <w:p w14:paraId="4E1901E0" w14:textId="77777777" w:rsidR="00277552" w:rsidRDefault="001D68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Přivaděč vody z Ohře do nádrže Vidhostice, přivaděč vody z nádrže Vidhostice do Rakovnického potoka včetně přípojky z budoucí nádrže Kryry</w:t>
            </w:r>
          </w:p>
        </w:tc>
      </w:tr>
      <w:tr w:rsidR="00277552" w14:paraId="094A6CE1" w14:textId="77777777">
        <w:trPr>
          <w:trHeight w:val="600"/>
          <w:jc w:val="center"/>
        </w:trPr>
        <w:tc>
          <w:tcPr>
            <w:tcW w:w="2972" w:type="dxa"/>
            <w:vAlign w:val="center"/>
          </w:tcPr>
          <w:p w14:paraId="65359785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</w:tcPr>
          <w:p w14:paraId="5402C4F2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</w:t>
            </w:r>
          </w:p>
        </w:tc>
      </w:tr>
      <w:tr w:rsidR="00277552" w14:paraId="2C7C05C6" w14:textId="7777777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3FBBF9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31AF6D5" w14:textId="77777777" w:rsidR="00277552" w:rsidRDefault="001D68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277552" w14:paraId="471E8C02" w14:textId="7777777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CF63FD8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FBFCCF" w14:textId="77777777" w:rsidR="00277552" w:rsidRDefault="001D68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277552" w14:paraId="4813660E" w14:textId="77777777">
        <w:trPr>
          <w:trHeight w:val="378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79EDF779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393BD97D" w14:textId="77777777" w:rsidR="00277552" w:rsidRDefault="001D68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277552" w14:paraId="439EC37F" w14:textId="77777777">
        <w:trPr>
          <w:trHeight w:val="411"/>
          <w:jc w:val="center"/>
        </w:trPr>
        <w:tc>
          <w:tcPr>
            <w:tcW w:w="2972" w:type="dxa"/>
            <w:shd w:val="clear" w:color="auto" w:fill="DEEAF6" w:themeFill="accent5" w:themeFillTint="33"/>
          </w:tcPr>
          <w:p w14:paraId="2B3EF22A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OHL_0580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</w:tcPr>
          <w:p w14:paraId="28DD0F40" w14:textId="77777777" w:rsidR="00277552" w:rsidRDefault="001D68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Ohře od hráze nádrže Nechranice po Liboc </w:t>
            </w:r>
          </w:p>
        </w:tc>
      </w:tr>
      <w:tr w:rsidR="00277552" w14:paraId="42C25FD9" w14:textId="77777777">
        <w:trPr>
          <w:trHeight w:val="411"/>
          <w:jc w:val="center"/>
        </w:trPr>
        <w:tc>
          <w:tcPr>
            <w:tcW w:w="2972" w:type="dxa"/>
            <w:shd w:val="clear" w:color="auto" w:fill="DEEAF6" w:themeFill="accent5" w:themeFillTint="33"/>
          </w:tcPr>
          <w:p w14:paraId="3CBEB049" w14:textId="77777777" w:rsidR="00277552" w:rsidRDefault="001D680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OHL_0600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</w:tcPr>
          <w:p w14:paraId="7A7DAF7E" w14:textId="77777777" w:rsidR="00277552" w:rsidRDefault="001D68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Leska od pramene po ústí do toku Liboc</w:t>
            </w:r>
          </w:p>
        </w:tc>
      </w:tr>
      <w:tr w:rsidR="00277552" w14:paraId="7DA0E531" w14:textId="77777777">
        <w:trPr>
          <w:trHeight w:val="411"/>
          <w:jc w:val="center"/>
        </w:trPr>
        <w:tc>
          <w:tcPr>
            <w:tcW w:w="2972" w:type="dxa"/>
            <w:shd w:val="clear" w:color="auto" w:fill="DEEAF6" w:themeFill="accent5" w:themeFillTint="33"/>
          </w:tcPr>
          <w:p w14:paraId="35E3D10A" w14:textId="77777777" w:rsidR="00277552" w:rsidRDefault="001D680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OHL_0610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</w:tcPr>
          <w:p w14:paraId="7FD731DD" w14:textId="77777777" w:rsidR="00277552" w:rsidRDefault="001D68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Liboc od toku Leska po ústí do Ohře</w:t>
            </w:r>
          </w:p>
        </w:tc>
      </w:tr>
      <w:tr w:rsidR="00277552" w14:paraId="4F9175C5" w14:textId="77777777">
        <w:trPr>
          <w:trHeight w:val="411"/>
          <w:jc w:val="center"/>
        </w:trPr>
        <w:tc>
          <w:tcPr>
            <w:tcW w:w="2972" w:type="dxa"/>
            <w:shd w:val="clear" w:color="auto" w:fill="DEEAF6" w:themeFill="accent5" w:themeFillTint="33"/>
          </w:tcPr>
          <w:p w14:paraId="20857706" w14:textId="77777777" w:rsidR="00277552" w:rsidRDefault="001D680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OHL_0630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</w:tcPr>
          <w:p w14:paraId="3B33DC26" w14:textId="77777777" w:rsidR="00277552" w:rsidRDefault="001D68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Blšanka od pramene po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Očihovecký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potok</w:t>
            </w:r>
          </w:p>
        </w:tc>
      </w:tr>
      <w:tr w:rsidR="00277552" w14:paraId="1008A4C2" w14:textId="77777777">
        <w:trPr>
          <w:trHeight w:val="411"/>
          <w:jc w:val="center"/>
        </w:trPr>
        <w:tc>
          <w:tcPr>
            <w:tcW w:w="2972" w:type="dxa"/>
            <w:shd w:val="clear" w:color="auto" w:fill="DEEAF6" w:themeFill="accent5" w:themeFillTint="33"/>
          </w:tcPr>
          <w:p w14:paraId="1A5FE9D9" w14:textId="77777777" w:rsidR="00277552" w:rsidRDefault="001D680C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GoBack" w:colFirst="1" w:colLast="1"/>
            <w:r>
              <w:rPr>
                <w:rFonts w:ascii="Arial" w:hAnsi="Arial" w:cs="Arial"/>
                <w:b/>
                <w:sz w:val="20"/>
                <w:szCs w:val="20"/>
              </w:rPr>
              <w:t>OHL_0650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</w:tcPr>
          <w:p w14:paraId="6C9AF728" w14:textId="77777777" w:rsidR="00277552" w:rsidRDefault="001D68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Blšanka od toku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Očihovecký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potok po ústí do Ohře</w:t>
            </w:r>
          </w:p>
        </w:tc>
      </w:tr>
      <w:bookmarkEnd w:id="1"/>
      <w:tr w:rsidR="00277552" w14:paraId="30366D64" w14:textId="77777777">
        <w:trPr>
          <w:trHeight w:val="300"/>
          <w:jc w:val="center"/>
        </w:trPr>
        <w:tc>
          <w:tcPr>
            <w:tcW w:w="2972" w:type="dxa"/>
            <w:vAlign w:val="center"/>
          </w:tcPr>
          <w:p w14:paraId="36A55741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00113BF9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277552" w14:paraId="4E012BBA" w14:textId="77777777">
        <w:trPr>
          <w:trHeight w:val="300"/>
          <w:jc w:val="center"/>
        </w:trPr>
        <w:tc>
          <w:tcPr>
            <w:tcW w:w="2972" w:type="dxa"/>
            <w:vAlign w:val="center"/>
          </w:tcPr>
          <w:p w14:paraId="330F5612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</w:tcPr>
          <w:p w14:paraId="6E65AF40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277552" w14:paraId="6B0B034F" w14:textId="77777777">
        <w:trPr>
          <w:trHeight w:val="568"/>
          <w:jc w:val="center"/>
        </w:trPr>
        <w:tc>
          <w:tcPr>
            <w:tcW w:w="2972" w:type="dxa"/>
            <w:vAlign w:val="center"/>
          </w:tcPr>
          <w:p w14:paraId="1DF7539E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344F8E18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Březno, Nové Sedlo, Čeradice, Podbořany, Vroutek, Petrohrad, Jesenice, Kryry</w:t>
            </w:r>
          </w:p>
        </w:tc>
      </w:tr>
      <w:tr w:rsidR="00277552" w14:paraId="67133033" w14:textId="77777777">
        <w:trPr>
          <w:trHeight w:val="1270"/>
          <w:jc w:val="center"/>
        </w:trPr>
        <w:tc>
          <w:tcPr>
            <w:tcW w:w="2972" w:type="dxa"/>
            <w:vAlign w:val="center"/>
          </w:tcPr>
          <w:p w14:paraId="208AF0AD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0D3FE3CF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Březno u Chomutova,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Číňov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Břežany u Žatce,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Chudeřín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Žabokliky, Větrušice,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Kličín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Kněžice u Podbořan, Neprobylice               u Kaštic, Pšov u Podbořan,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Letov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Podbořany,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Valov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Vroutek,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Mukoděly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Kryry, Černčice u Petrohradu, Petrohrad, Bílenec, Jesenice u Rakovníka</w:t>
            </w:r>
          </w:p>
        </w:tc>
      </w:tr>
      <w:tr w:rsidR="00277552" w14:paraId="55798366" w14:textId="77777777">
        <w:trPr>
          <w:trHeight w:val="300"/>
          <w:jc w:val="center"/>
        </w:trPr>
        <w:tc>
          <w:tcPr>
            <w:tcW w:w="2972" w:type="dxa"/>
            <w:vAlign w:val="center"/>
          </w:tcPr>
          <w:p w14:paraId="662CF09D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1" locked="0" layoutInCell="1" allowOverlap="1" wp14:anchorId="56B4698A" wp14:editId="6241C6E5">
                      <wp:simplePos x="0" y="0"/>
                      <wp:positionH relativeFrom="page">
                        <wp:posOffset>-900430</wp:posOffset>
                      </wp:positionH>
                      <wp:positionV relativeFrom="paragraph">
                        <wp:posOffset>190500</wp:posOffset>
                      </wp:positionV>
                      <wp:extent cx="7609205" cy="4420870"/>
                      <wp:effectExtent l="0" t="0" r="0" b="0"/>
                      <wp:wrapNone/>
                      <wp:docPr id="3" name="Obrázek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ázek 1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96DAC541-7B7A-43D3-8B79-37D633B846F1}">
                                    <asvg:svgBlip xmlns:asvg="http://schemas.microsoft.com/office/drawing/2016/SVG/main" r:embed="rId9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7609205" cy="44208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" o:spid="_x0000_s2" type="#_x0000_t75" style="position:absolute;z-index:-251669504;o:allowoverlap:true;o:allowincell:true;mso-position-horizontal-relative:page;margin-left:-70.90pt;mso-position-horizontal:absolute;mso-position-vertical-relative:text;margin-top:15.00pt;mso-position-vertical:absolute;width:599.15pt;height:348.10pt;mso-wrap-distance-left:9.00pt;mso-wrap-distance-top:0.00pt;mso-wrap-distance-right:9.00pt;mso-wrap-distance-bottom:0.00pt;z-index:1;" stroked="f">
                      <v:imagedata r:id="rId12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</w:tcPr>
          <w:p w14:paraId="651799F0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 -807275 do -808895</w:t>
            </w:r>
          </w:p>
        </w:tc>
      </w:tr>
      <w:tr w:rsidR="00277552" w14:paraId="51E18138" w14:textId="7777777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B2B985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083F883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 -1002105 do -1031220</w:t>
            </w:r>
          </w:p>
        </w:tc>
      </w:tr>
      <w:tr w:rsidR="00277552" w14:paraId="34FCEB7A" w14:textId="7777777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327340F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20500D0" w14:textId="77777777" w:rsidR="00277552" w:rsidRDefault="002775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7552" w14:paraId="5E176874" w14:textId="7777777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5E27ED6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D28B793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277552" w14:paraId="756389DC" w14:textId="7777777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30F131E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45D2BBC" w14:textId="77777777" w:rsidR="00277552" w:rsidRDefault="001D68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277552" w14:paraId="097F8339" w14:textId="7777777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ACB077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9FA7C4E" w14:textId="77777777" w:rsidR="00277552" w:rsidRDefault="002775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7552" w14:paraId="53AA0F2E" w14:textId="77777777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7BD9CEBC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6DDD08DE" w14:textId="77777777" w:rsidR="00277552" w:rsidRDefault="001D68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277552" w14:paraId="6F72C573" w14:textId="77777777">
        <w:trPr>
          <w:trHeight w:val="412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152C28" w14:textId="77777777" w:rsidR="00277552" w:rsidRDefault="001D680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D4BC935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jiný antropogenní vliv</w:t>
            </w:r>
          </w:p>
        </w:tc>
      </w:tr>
      <w:tr w:rsidR="00277552" w14:paraId="05718F48" w14:textId="77777777">
        <w:trPr>
          <w:trHeight w:val="412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10DCCC2" w14:textId="77777777" w:rsidR="00277552" w:rsidRDefault="001D680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Vliv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974EB3F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Hydrologické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změny - jiné</w:t>
            </w:r>
            <w:proofErr w:type="gramEnd"/>
          </w:p>
        </w:tc>
      </w:tr>
      <w:tr w:rsidR="00277552" w14:paraId="4E1244A8" w14:textId="77777777">
        <w:trPr>
          <w:trHeight w:val="404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09263E4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B0F1E82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Opatření za účelem zadržování přírodní vody.</w:t>
            </w:r>
          </w:p>
        </w:tc>
      </w:tr>
      <w:tr w:rsidR="00277552" w14:paraId="3BD8C4E3" w14:textId="77777777">
        <w:trPr>
          <w:trHeight w:val="404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DE0BC4C" w14:textId="77777777" w:rsidR="00277552" w:rsidRDefault="001D680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1A46C3B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Přizpůsobení se změně klimatu.</w:t>
            </w:r>
          </w:p>
        </w:tc>
      </w:tr>
      <w:tr w:rsidR="00277552" w14:paraId="61CDB0AD" w14:textId="77777777">
        <w:trPr>
          <w:trHeight w:val="63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060DD0" w14:textId="77777777" w:rsidR="00277552" w:rsidRDefault="001D680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14C93C5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Efektivnost využívání vody, technická opatření pro zavlažování, průmysl, energetiku a domácnosti.</w:t>
            </w:r>
          </w:p>
        </w:tc>
      </w:tr>
      <w:tr w:rsidR="00277552" w14:paraId="2D7880D5" w14:textId="7777777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FFBAF6" w14:textId="77777777" w:rsidR="00277552" w:rsidRDefault="001D680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FB4283D" w14:textId="77777777" w:rsidR="00277552" w:rsidRDefault="002775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7552" w14:paraId="70A63B9C" w14:textId="7777777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2F32899" w14:textId="77777777" w:rsidR="00277552" w:rsidRDefault="001D680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569386B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kvantitativní stav útvaru podzemní vody</w:t>
            </w:r>
          </w:p>
        </w:tc>
      </w:tr>
      <w:tr w:rsidR="00277552" w14:paraId="39542FE5" w14:textId="7777777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449BF3E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C3A72D6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Povodí Ohře, státní podnik, Povodí Vltavy, státní podnik</w:t>
            </w:r>
          </w:p>
        </w:tc>
      </w:tr>
      <w:tr w:rsidR="00277552" w14:paraId="628CB9AB" w14:textId="77777777">
        <w:trPr>
          <w:trHeight w:val="300"/>
          <w:jc w:val="center"/>
        </w:trPr>
        <w:tc>
          <w:tcPr>
            <w:tcW w:w="2972" w:type="dxa"/>
            <w:vAlign w:val="center"/>
          </w:tcPr>
          <w:p w14:paraId="6DBE27D9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Partnerská organizace</w:t>
            </w:r>
          </w:p>
        </w:tc>
        <w:tc>
          <w:tcPr>
            <w:tcW w:w="6090" w:type="dxa"/>
            <w:noWrap/>
            <w:vAlign w:val="center"/>
          </w:tcPr>
          <w:p w14:paraId="330BB0DC" w14:textId="77777777" w:rsidR="00277552" w:rsidRDefault="002775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7552" w14:paraId="2DD48683" w14:textId="77777777">
        <w:trPr>
          <w:trHeight w:val="300"/>
          <w:jc w:val="center"/>
        </w:trPr>
        <w:tc>
          <w:tcPr>
            <w:tcW w:w="2972" w:type="dxa"/>
            <w:vAlign w:val="center"/>
          </w:tcPr>
          <w:p w14:paraId="4BBBB57A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Náklady investiční celkem [tis. Kč]</w:t>
            </w:r>
          </w:p>
        </w:tc>
        <w:tc>
          <w:tcPr>
            <w:tcW w:w="6090" w:type="dxa"/>
            <w:noWrap/>
            <w:vAlign w:val="center"/>
          </w:tcPr>
          <w:p w14:paraId="7B2DF9C9" w14:textId="72FC0804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1 578 500</w:t>
            </w:r>
          </w:p>
        </w:tc>
      </w:tr>
      <w:tr w:rsidR="00277552" w14:paraId="4A8E539B" w14:textId="77777777">
        <w:trPr>
          <w:trHeight w:val="300"/>
          <w:jc w:val="center"/>
        </w:trPr>
        <w:tc>
          <w:tcPr>
            <w:tcW w:w="2972" w:type="dxa"/>
            <w:vAlign w:val="center"/>
          </w:tcPr>
          <w:p w14:paraId="4D39180C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noWrap/>
            <w:vAlign w:val="center"/>
          </w:tcPr>
          <w:p w14:paraId="225C50A3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13400</w:t>
            </w:r>
          </w:p>
        </w:tc>
      </w:tr>
      <w:tr w:rsidR="00277552" w14:paraId="4FCB758C" w14:textId="77777777">
        <w:trPr>
          <w:trHeight w:val="300"/>
          <w:jc w:val="center"/>
        </w:trPr>
        <w:tc>
          <w:tcPr>
            <w:tcW w:w="2972" w:type="dxa"/>
            <w:vAlign w:val="center"/>
          </w:tcPr>
          <w:p w14:paraId="512A4BB5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noWrap/>
            <w:vAlign w:val="center"/>
          </w:tcPr>
          <w:p w14:paraId="5EA735E5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státní rozpočet + dotace</w:t>
            </w:r>
          </w:p>
        </w:tc>
      </w:tr>
      <w:tr w:rsidR="00277552" w14:paraId="5F006182" w14:textId="77777777">
        <w:trPr>
          <w:trHeight w:val="300"/>
          <w:jc w:val="center"/>
        </w:trPr>
        <w:tc>
          <w:tcPr>
            <w:tcW w:w="2972" w:type="dxa"/>
            <w:vAlign w:val="center"/>
          </w:tcPr>
          <w:p w14:paraId="4B695027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noWrap/>
            <w:vAlign w:val="center"/>
          </w:tcPr>
          <w:p w14:paraId="2234CF45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277552" w14:paraId="4DEA68A4" w14:textId="77777777">
        <w:trPr>
          <w:trHeight w:val="300"/>
          <w:jc w:val="center"/>
        </w:trPr>
        <w:tc>
          <w:tcPr>
            <w:tcW w:w="2972" w:type="dxa"/>
            <w:vAlign w:val="center"/>
          </w:tcPr>
          <w:p w14:paraId="2CA99118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00300988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277552" w14:paraId="2B212C21" w14:textId="77777777">
        <w:trPr>
          <w:trHeight w:val="300"/>
          <w:jc w:val="center"/>
        </w:trPr>
        <w:tc>
          <w:tcPr>
            <w:tcW w:w="2972" w:type="dxa"/>
            <w:vAlign w:val="center"/>
          </w:tcPr>
          <w:p w14:paraId="34BD4B4C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5CFE842A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ptačí oblast s vazbou na vodu</w:t>
            </w:r>
          </w:p>
        </w:tc>
      </w:tr>
      <w:tr w:rsidR="00277552" w14:paraId="2AC0D498" w14:textId="77777777">
        <w:trPr>
          <w:trHeight w:val="300"/>
          <w:jc w:val="center"/>
        </w:trPr>
        <w:tc>
          <w:tcPr>
            <w:tcW w:w="2972" w:type="dxa"/>
            <w:vAlign w:val="center"/>
          </w:tcPr>
          <w:p w14:paraId="32A6C4E8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42DCC6BB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277552" w14:paraId="5B0672EB" w14:textId="77777777">
        <w:trPr>
          <w:trHeight w:val="300"/>
          <w:jc w:val="center"/>
        </w:trPr>
        <w:tc>
          <w:tcPr>
            <w:tcW w:w="2972" w:type="dxa"/>
            <w:vAlign w:val="center"/>
          </w:tcPr>
          <w:p w14:paraId="42A88AD5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56E2EF62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277552" w14:paraId="22D3A0A7" w14:textId="77777777">
        <w:trPr>
          <w:trHeight w:val="300"/>
          <w:jc w:val="center"/>
        </w:trPr>
        <w:tc>
          <w:tcPr>
            <w:tcW w:w="2972" w:type="dxa"/>
            <w:vAlign w:val="center"/>
          </w:tcPr>
          <w:p w14:paraId="217385ED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67E5A5CB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EVL Hradiště, EVL Doupovské hory, </w:t>
            </w:r>
          </w:p>
          <w:p w14:paraId="70164EA2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 Nádrž vodního díla Nechranice</w:t>
            </w:r>
          </w:p>
        </w:tc>
      </w:tr>
      <w:tr w:rsidR="00277552" w14:paraId="7E21B07E" w14:textId="77777777">
        <w:trPr>
          <w:trHeight w:val="300"/>
          <w:jc w:val="center"/>
        </w:trPr>
        <w:tc>
          <w:tcPr>
            <w:tcW w:w="2972" w:type="dxa"/>
            <w:vAlign w:val="center"/>
          </w:tcPr>
          <w:p w14:paraId="2BC6EDA0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Lokalizace vlivu 1</w:t>
            </w:r>
          </w:p>
        </w:tc>
        <w:tc>
          <w:tcPr>
            <w:tcW w:w="6090" w:type="dxa"/>
            <w:noWrap/>
            <w:vAlign w:val="center"/>
          </w:tcPr>
          <w:p w14:paraId="0996ED7E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povodí Blšanky a Rakovnického potoka </w:t>
            </w:r>
          </w:p>
        </w:tc>
      </w:tr>
      <w:tr w:rsidR="00277552" w14:paraId="1EA90903" w14:textId="77777777">
        <w:trPr>
          <w:trHeight w:val="300"/>
          <w:jc w:val="center"/>
        </w:trPr>
        <w:tc>
          <w:tcPr>
            <w:tcW w:w="2972" w:type="dxa"/>
            <w:vAlign w:val="center"/>
          </w:tcPr>
          <w:p w14:paraId="6D7CDB0A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Lokalizace vlivu 2</w:t>
            </w:r>
          </w:p>
        </w:tc>
        <w:tc>
          <w:tcPr>
            <w:tcW w:w="6090" w:type="dxa"/>
            <w:noWrap/>
            <w:vAlign w:val="center"/>
          </w:tcPr>
          <w:p w14:paraId="69EC05D7" w14:textId="77777777" w:rsidR="00277552" w:rsidRDefault="002775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7552" w14:paraId="23C88B85" w14:textId="77777777">
        <w:trPr>
          <w:trHeight w:val="300"/>
          <w:jc w:val="center"/>
        </w:trPr>
        <w:tc>
          <w:tcPr>
            <w:tcW w:w="2972" w:type="dxa"/>
            <w:vAlign w:val="center"/>
          </w:tcPr>
          <w:p w14:paraId="55CB6DE3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Způsob hodnocení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realizovanosti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noWrap/>
            <w:vAlign w:val="center"/>
          </w:tcPr>
          <w:p w14:paraId="78438756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</w:t>
            </w:r>
          </w:p>
          <w:p w14:paraId="51ABE155" w14:textId="77777777" w:rsidR="00277552" w:rsidRDefault="002775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9F053B8" w14:textId="77777777" w:rsidR="00277552" w:rsidRDefault="002775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7552" w14:paraId="29EE9E32" w14:textId="77777777">
        <w:trPr>
          <w:trHeight w:val="378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5F9D2057" w14:textId="77777777" w:rsidR="00277552" w:rsidRDefault="001D68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Parametry opatření</w:t>
            </w:r>
          </w:p>
        </w:tc>
      </w:tr>
      <w:tr w:rsidR="00277552" w14:paraId="435ADF69" w14:textId="77777777">
        <w:trPr>
          <w:trHeight w:val="3566"/>
          <w:jc w:val="center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</w:tcPr>
          <w:p w14:paraId="4237AFEB" w14:textId="77777777" w:rsidR="00277552" w:rsidRDefault="001D680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1" locked="0" layoutInCell="1" allowOverlap="1" wp14:anchorId="10783163" wp14:editId="6E0B4F8B">
                      <wp:simplePos x="0" y="0"/>
                      <wp:positionH relativeFrom="page">
                        <wp:posOffset>-898525</wp:posOffset>
                      </wp:positionH>
                      <wp:positionV relativeFrom="paragraph">
                        <wp:posOffset>1472565</wp:posOffset>
                      </wp:positionV>
                      <wp:extent cx="7609205" cy="4420870"/>
                      <wp:effectExtent l="0" t="0" r="0" b="0"/>
                      <wp:wrapNone/>
                      <wp:docPr id="4" name="Obrázek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ázek 1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609205" cy="44208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3" o:spid="_x0000_s3" type="#_x0000_t75" style="position:absolute;z-index:-251667456;o:allowoverlap:true;o:allowincell:true;mso-position-horizontal-relative:page;margin-left:-70.75pt;mso-position-horizontal:absolute;mso-position-vertical-relative:text;margin-top:115.95pt;mso-position-vertical:absolute;width:599.15pt;height:348.10pt;mso-wrap-distance-left:9.00pt;mso-wrap-distance-top:0.00pt;mso-wrap-distance-right:9.00pt;mso-wrap-distance-bottom:0.00pt;z-index:1;" stroked="f">
                      <v:imagedata r:id="rId14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D649659" w14:textId="77777777" w:rsidR="00277552" w:rsidRDefault="001D68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Povodí Blšanky, pravostranného přítoku Ohře pod Žatcem, je dlouhodobě jedním z nejsušších v Česku. Spolu  se sousedním povodím Rakovnického potoka v povodí  Berounky se setrvale potýká s nedostatkem vody ve vodních tocích, a tím               i špatnou dostupností vody pro uživatele (zemědělství, průmysl). Standardem jsou pravidelné  zákazy odběrů vody v letním období. V posledních letech vyústila do záměru vybudovat v ohrožené oblasti opatření (část v povodí Blšanky, část v povodí Rakovnického potoka), která vylepší vodní bilanci v oblasti a zlepší dostupnost vody. </w:t>
            </w:r>
          </w:p>
          <w:p w14:paraId="46E8B537" w14:textId="77777777" w:rsidR="00277552" w:rsidRDefault="001D68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Usnesení vlády č. 256 ze dne 15. dubna 2019, o návrhu komplexního řešení sucha, ukládá úkoly v souvislosti s komplexním řešením sucha v ohrožených oblastech. Jedná se o technická                  a přírodě blízká opatření. Opatření nyní připravují státní podniky Povodí Ohře a Povodí Vltavy.</w:t>
            </w:r>
          </w:p>
        </w:tc>
      </w:tr>
      <w:tr w:rsidR="00277552" w14:paraId="2CF09BF8" w14:textId="77777777">
        <w:trPr>
          <w:trHeight w:val="2473"/>
          <w:jc w:val="center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10399983" w14:textId="77777777" w:rsidR="00277552" w:rsidRDefault="002775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CC2EC51" w14:textId="77777777" w:rsidR="00277552" w:rsidRDefault="001D68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DEEAF6" w:themeFill="accent5" w:themeFillTint="33"/>
              </w:rPr>
              <w:t xml:space="preserve">Cíl: </w:t>
            </w:r>
            <w:r>
              <w:rPr>
                <w:rFonts w:ascii="Arial" w:hAnsi="Arial" w:cs="Arial"/>
                <w:sz w:val="20"/>
                <w:szCs w:val="20"/>
                <w:shd w:val="clear" w:color="auto" w:fill="DEEAF6" w:themeFill="accent5" w:themeFillTint="33"/>
              </w:rPr>
              <w:t>Systém přivaděčů bude zajišťovat možnost doplňování vody do vodohospodářské soustavy v povodí Blšanky a Rakovnického potoka v případě nepříznivého vývoje klimatické změny. Systém přivaděčů může dodávat vodu do povodí Blšanky a Rakovnického potoka ještě před výstavbou VD Kryry a po dokončení VD Kryry přispěje k rychlejšímu plnění tohoto vodního díla. Do roku 2027 je cílem zajistit předprojektovou přípravu vodního díla. Opatření má přesah do povodí Rakovnického potoka, tj. do správního území státního podniku Povodí Vltavy.</w:t>
            </w:r>
          </w:p>
        </w:tc>
      </w:tr>
      <w:tr w:rsidR="00277552" w14:paraId="363CFA03" w14:textId="77777777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59C49F1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  <w:p w14:paraId="77CD7C03" w14:textId="77777777" w:rsidR="00277552" w:rsidRDefault="002775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11B7AA6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77552" w14:paraId="37368F41" w14:textId="77777777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C501869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7C54D63" w14:textId="44046DE2" w:rsidR="00277552" w:rsidRDefault="00340F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</w:tr>
      <w:tr w:rsidR="00277552" w14:paraId="2E60200D" w14:textId="77777777">
        <w:trPr>
          <w:trHeight w:val="600"/>
          <w:jc w:val="center"/>
        </w:trPr>
        <w:tc>
          <w:tcPr>
            <w:tcW w:w="2972" w:type="dxa"/>
            <w:vAlign w:val="center"/>
          </w:tcPr>
          <w:p w14:paraId="4322849C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</w:tcPr>
          <w:p w14:paraId="1E461FE7" w14:textId="78F858F4" w:rsidR="00277552" w:rsidRDefault="002775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342A27C" w14:textId="54CB4979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3032</w:t>
            </w:r>
          </w:p>
        </w:tc>
      </w:tr>
      <w:tr w:rsidR="00277552" w14:paraId="2C14B9D3" w14:textId="77777777">
        <w:trPr>
          <w:trHeight w:val="600"/>
          <w:jc w:val="center"/>
        </w:trPr>
        <w:tc>
          <w:tcPr>
            <w:tcW w:w="2972" w:type="dxa"/>
            <w:vAlign w:val="center"/>
          </w:tcPr>
          <w:p w14:paraId="38BA649F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noWrap/>
            <w:vAlign w:val="center"/>
          </w:tcPr>
          <w:p w14:paraId="61B306B2" w14:textId="2DBFC8D4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</w:t>
            </w:r>
            <w:r w:rsidR="00340F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77552" w14:paraId="1C16C885" w14:textId="77777777">
        <w:trPr>
          <w:trHeight w:val="300"/>
          <w:jc w:val="center"/>
        </w:trPr>
        <w:tc>
          <w:tcPr>
            <w:tcW w:w="2972" w:type="dxa"/>
            <w:vAlign w:val="center"/>
          </w:tcPr>
          <w:p w14:paraId="3229A15B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noWrap/>
            <w:vAlign w:val="center"/>
          </w:tcPr>
          <w:p w14:paraId="021FE166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 </w:t>
            </w:r>
          </w:p>
        </w:tc>
      </w:tr>
      <w:tr w:rsidR="00277552" w14:paraId="662071CA" w14:textId="77777777">
        <w:trPr>
          <w:trHeight w:val="392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31174E37" w14:textId="77777777" w:rsidR="00277552" w:rsidRDefault="001D68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2021 až 2041</w:t>
            </w:r>
          </w:p>
        </w:tc>
      </w:tr>
      <w:tr w:rsidR="00277552" w14:paraId="357E0B73" w14:textId="77777777">
        <w:trPr>
          <w:trHeight w:val="15"/>
          <w:jc w:val="center"/>
        </w:trPr>
        <w:tc>
          <w:tcPr>
            <w:tcW w:w="2972" w:type="dxa"/>
            <w:vAlign w:val="center"/>
          </w:tcPr>
          <w:p w14:paraId="05BA3C1C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</w:tcPr>
          <w:p w14:paraId="54A0BCF6" w14:textId="31882750" w:rsidR="00277552" w:rsidRDefault="00340F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277552" w14:paraId="5F9E29F0" w14:textId="77777777">
        <w:trPr>
          <w:trHeight w:val="300"/>
          <w:jc w:val="center"/>
        </w:trPr>
        <w:tc>
          <w:tcPr>
            <w:tcW w:w="2972" w:type="dxa"/>
            <w:vAlign w:val="center"/>
          </w:tcPr>
          <w:p w14:paraId="3F8A0BB3" w14:textId="77777777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6090" w:type="dxa"/>
            <w:noWrap/>
            <w:vAlign w:val="center"/>
          </w:tcPr>
          <w:p w14:paraId="2DEFB276" w14:textId="77777777" w:rsidR="00277552" w:rsidRDefault="001D68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probíhá </w:t>
            </w:r>
          </w:p>
        </w:tc>
      </w:tr>
      <w:tr w:rsidR="00277552" w14:paraId="7880194B" w14:textId="77777777">
        <w:trPr>
          <w:trHeight w:val="600"/>
          <w:jc w:val="center"/>
        </w:trPr>
        <w:tc>
          <w:tcPr>
            <w:tcW w:w="2972" w:type="dxa"/>
            <w:vAlign w:val="center"/>
          </w:tcPr>
          <w:p w14:paraId="51BBCA8E" w14:textId="58DDCE6C" w:rsidR="00277552" w:rsidRDefault="001D68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2027</w:t>
            </w:r>
          </w:p>
        </w:tc>
        <w:tc>
          <w:tcPr>
            <w:tcW w:w="6090" w:type="dxa"/>
            <w:noWrap/>
            <w:vAlign w:val="center"/>
          </w:tcPr>
          <w:p w14:paraId="112FF96A" w14:textId="20BCB9DB" w:rsidR="00277552" w:rsidRDefault="002775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573E84" w14:textId="77777777" w:rsidR="00277552" w:rsidRDefault="00277552"/>
    <w:p w14:paraId="5F0639EC" w14:textId="77777777" w:rsidR="00277552" w:rsidRDefault="001D680C"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42F78A9F" wp14:editId="2D8DCACF">
                <wp:simplePos x="0" y="0"/>
                <wp:positionH relativeFrom="page">
                  <wp:align>left</wp:align>
                </wp:positionH>
                <wp:positionV relativeFrom="paragraph">
                  <wp:posOffset>2291577</wp:posOffset>
                </wp:positionV>
                <wp:extent cx="7609205" cy="4420870"/>
                <wp:effectExtent l="0" t="0" r="0" b="0"/>
                <wp:wrapNone/>
                <wp:docPr id="5" name="Obrázek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0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7609205" cy="4420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4" o:spid="_x0000_s4" type="#_x0000_t75" style="position:absolute;z-index:-251665408;o:allowoverlap:true;o:allowincell:true;mso-position-horizontal-relative:page;mso-position-horizontal:left;mso-position-vertical-relative:text;margin-top:180.44pt;mso-position-vertical:absolute;width:599.15pt;height:348.10pt;mso-wrap-distance-left:9.00pt;mso-wrap-distance-top:0.00pt;mso-wrap-distance-right:9.00pt;mso-wrap-distance-bottom:0.00pt;z-index:1;" stroked="f">
                <v:imagedata r:id="rId14" o:title=""/>
                <o:lock v:ext="edit" rotation="t"/>
              </v:shape>
            </w:pict>
          </mc:Fallback>
        </mc:AlternateContent>
      </w:r>
    </w:p>
    <w:sectPr w:rsidR="00277552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FB0461B" w16cex:dateUtc="2026-01-08T10:40:26Z"/>
  <w16cex:commentExtensible w16cex:durableId="764875FD" w16cex:dateUtc="2026-01-08T10:39:51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7978F" w14:textId="77777777" w:rsidR="00277552" w:rsidRDefault="001D680C">
      <w:pPr>
        <w:spacing w:after="0" w:line="240" w:lineRule="auto"/>
      </w:pPr>
      <w:r>
        <w:separator/>
      </w:r>
    </w:p>
  </w:endnote>
  <w:endnote w:type="continuationSeparator" w:id="0">
    <w:p w14:paraId="13AE0652" w14:textId="77777777" w:rsidR="00277552" w:rsidRDefault="001D6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6A840" w14:textId="77777777" w:rsidR="00277552" w:rsidRDefault="001D680C">
    <w:pPr>
      <w:pStyle w:val="Zpat"/>
      <w:rPr>
        <w:color w:val="0070C0"/>
      </w:rPr>
    </w:pPr>
    <w:r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4FC8CA3" wp14:editId="67ABE9CE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5C3F8D64" w14:textId="77777777" w:rsidR="00277552" w:rsidRDefault="001D680C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1" o:spid="_x0000_s1" o:spt="5" type="#_x0000_t5" style="position:absolute;z-index:251659264;o:allowoverlap:true;o:allowincell:true;mso-position-horizontal-relative:right-margin-area;mso-position-horizontal:left;mso-position-vertical-relative:page;mso-position-vertical:bottom;width:71.40pt;height:64.30pt;mso-wrap-distance-left:9.00pt;mso-wrap-distance-top:0.00pt;mso-wrap-distance-right:9.00pt;mso-wrap-distance-bottom:0.00pt;v-text-anchor:top;visibility:visible;" fillcolor="#DBE9F5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cs="Times New Roman" w:eastAsiaTheme="minorEastAsia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 xml:space="preserve">PAGE    \* MERGEFORMAT</w:instrText>
                    </w:r>
                    <w:r>
                      <w:rPr>
                        <w:rFonts w:cs="Times New Roman" w:eastAsiaTheme="minorEastAsia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Theme="majorHAnsi" w:hAnsiTheme="majorHAnsi" w:eastAsiaTheme="majorEastAsia" w:cstheme="majorBidi"/>
                        <w:b/>
                        <w:color w:val="000000" w:themeColor="text1"/>
                        <w:sz w:val="24"/>
                        <w:szCs w:val="24"/>
                      </w:rPr>
                      <w:t xml:space="preserve">2</w:t>
                    </w:r>
                    <w:r>
                      <w:rPr>
                        <w:rFonts w:asciiTheme="majorHAnsi" w:hAnsiTheme="majorHAnsi" w:eastAsiaTheme="majorEastAsia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b/>
                        <w:color w:val="000000" w:themeColor="text1"/>
                        <w:sz w:val="24"/>
                        <w:szCs w:val="24"/>
                      </w:rPr>
                    </w:r>
                    <w:r>
                      <w:rPr>
                        <w:b/>
                        <w:color w:val="000000" w:themeColor="text1"/>
                        <w:sz w:val="24"/>
                        <w:szCs w:val="24"/>
                      </w:rPr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00BCC" w14:textId="77777777" w:rsidR="00277552" w:rsidRDefault="001D680C">
      <w:pPr>
        <w:spacing w:after="0" w:line="240" w:lineRule="auto"/>
      </w:pPr>
      <w:r>
        <w:separator/>
      </w:r>
    </w:p>
  </w:footnote>
  <w:footnote w:type="continuationSeparator" w:id="0">
    <w:p w14:paraId="21715C1D" w14:textId="77777777" w:rsidR="00277552" w:rsidRDefault="001D6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47E84" w14:textId="26A62093" w:rsidR="00277552" w:rsidRDefault="001D680C">
    <w:pPr>
      <w:pStyle w:val="Zhlav"/>
      <w:rPr>
        <w:rFonts w:ascii="Arial" w:hAnsi="Arial" w:cs="Arial"/>
        <w:b/>
        <w:color w:val="3296DA"/>
      </w:rPr>
    </w:pPr>
    <w:r>
      <w:rPr>
        <w:rFonts w:ascii="Arial" w:hAnsi="Arial" w:cs="Arial"/>
        <w:b/>
        <w:noProof/>
        <w:color w:val="153553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3AA20E5" wp14:editId="20BCC5CA">
              <wp:simplePos x="0" y="0"/>
              <wp:positionH relativeFrom="margin">
                <wp:align>left</wp:align>
              </wp:positionH>
              <wp:positionV relativeFrom="paragraph">
                <wp:posOffset>-306705</wp:posOffset>
              </wp:positionV>
              <wp:extent cx="593725" cy="751205"/>
              <wp:effectExtent l="0" t="0" r="0" b="0"/>
              <wp:wrapNone/>
              <wp:docPr id="1" name="Obrázek 3" descr="C:\Users\Vlkova\AppData\Local\Temp\notesD4248F\logotyp_symbol.b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Vlkova\AppData\Local\Temp\notesD4248F\logotyp_symbol.bmp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3725" cy="751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60288;o:allowoverlap:true;o:allowincell:true;mso-position-horizontal-relative:margin;mso-position-horizontal:left;mso-position-vertical-relative:text;margin-top:-24.15pt;mso-position-vertical:absolute;width:46.75pt;height:59.1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Fonts w:ascii="Arial" w:hAnsi="Arial" w:cs="Arial"/>
        <w:b/>
        <w:color w:val="153553"/>
      </w:rPr>
      <w:t xml:space="preserve">               </w:t>
    </w:r>
    <w:r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>
      <w:rPr>
        <w:rFonts w:ascii="Arial" w:hAnsi="Arial" w:cs="Arial"/>
        <w:b/>
        <w:color w:val="3296DA"/>
      </w:rPr>
      <w:t>202</w:t>
    </w:r>
    <w:r w:rsidR="00F52BD8">
      <w:rPr>
        <w:rFonts w:ascii="Arial" w:hAnsi="Arial" w:cs="Arial"/>
        <w:b/>
        <w:color w:val="3296DA"/>
      </w:rPr>
      <w:t>7</w:t>
    </w:r>
    <w:r>
      <w:rPr>
        <w:rFonts w:ascii="Arial" w:hAnsi="Arial" w:cs="Arial"/>
        <w:b/>
        <w:color w:val="3296DA"/>
      </w:rPr>
      <w:t xml:space="preserve"> – 20</w:t>
    </w:r>
    <w:r w:rsidR="00F52BD8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multilevel"/>
    <w:tmpl w:val="3BC4435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multilevel"/>
    <w:tmpl w:val="FDEA8D3E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multilevel"/>
    <w:tmpl w:val="20966A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552"/>
    <w:rsid w:val="001D680C"/>
    <w:rsid w:val="00277552"/>
    <w:rsid w:val="00340F6D"/>
    <w:rsid w:val="006262B4"/>
    <w:rsid w:val="00F5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8AC80"/>
  <w15:docId w15:val="{B5010A25-C96A-492E-AD16-59429BBE9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GridLight">
    <w:name w:val="Table Grid Light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rosttabulka1">
    <w:name w:val="Plain Table 1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rosttabulka2">
    <w:name w:val="Plain Table 2"/>
    <w:basedOn w:val="Normlntabulk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rosttabulka3">
    <w:name w:val="Plain Table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rosttabulka4">
    <w:name w:val="Plain Table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rosttabulka5">
    <w:name w:val="Plain Table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tltabulkasmkou1">
    <w:name w:val="Grid Table 1 Light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ulkasmkou2">
    <w:name w:val="Grid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ulkasmkou3">
    <w:name w:val="Grid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ulkasmkou4">
    <w:name w:val="Grid Table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mavtabulkasmkou5">
    <w:name w:val="Grid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Barevntabulkasmkou6">
    <w:name w:val="Grid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Barevntabulkasmkou7">
    <w:name w:val="Grid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tltabulkaseznamu1">
    <w:name w:val="List Table 1 Light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ulkaseznamu2">
    <w:name w:val="List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ulkaseznamu3">
    <w:name w:val="List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ulkaseznamu4">
    <w:name w:val="List Table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mavtabulkaseznamu5">
    <w:name w:val="List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Barevntabulkaseznamu6">
    <w:name w:val="List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Barevntabulkaseznamu7">
    <w:name w:val="List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dpis1Char">
    <w:name w:val="Nadpis 1 Char"/>
    <w:basedOn w:val="Standardnpsmoodstavce"/>
    <w:link w:val="Nadpis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Pr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Pr>
      <w:i/>
      <w:iCs/>
      <w:color w:val="404040" w:themeColor="text1" w:themeTint="BF"/>
    </w:rPr>
  </w:style>
  <w:style w:type="character" w:styleId="Zdraznnintenzivn">
    <w:name w:val="Intense Emphasis"/>
    <w:basedOn w:val="Standardnpsmoodstavce"/>
    <w:uiPriority w:val="21"/>
    <w:qFormat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Bezmezer">
    <w:name w:val="No Spacing"/>
    <w:basedOn w:val="Normln"/>
    <w:uiPriority w:val="1"/>
    <w:qFormat/>
    <w:pPr>
      <w:spacing w:after="0" w:line="240" w:lineRule="auto"/>
    </w:pPr>
  </w:style>
  <w:style w:type="character" w:styleId="Zdraznnjemn">
    <w:name w:val="Subtle Emphasis"/>
    <w:basedOn w:val="Standardnpsmoodstavce"/>
    <w:uiPriority w:val="19"/>
    <w:qFormat/>
    <w:rPr>
      <w:i/>
      <w:iCs/>
      <w:color w:val="404040" w:themeColor="text1" w:themeTint="BF"/>
    </w:rPr>
  </w:style>
  <w:style w:type="character" w:styleId="Zdraznn">
    <w:name w:val="Emphasis"/>
    <w:basedOn w:val="Standardnpsmoodstavce"/>
    <w:uiPriority w:val="20"/>
    <w:qFormat/>
    <w:rPr>
      <w:i/>
      <w:iCs/>
    </w:rPr>
  </w:style>
  <w:style w:type="character" w:styleId="Siln">
    <w:name w:val="Strong"/>
    <w:basedOn w:val="Standardnpsmoodstavce"/>
    <w:uiPriority w:val="22"/>
    <w:qFormat/>
    <w:rPr>
      <w:b/>
      <w:bCs/>
    </w:rPr>
  </w:style>
  <w:style w:type="character" w:styleId="Odkazjemn">
    <w:name w:val="Subtle Reference"/>
    <w:basedOn w:val="Standardnpsmoodstavce"/>
    <w:uiPriority w:val="31"/>
    <w:qFormat/>
    <w:rPr>
      <w:smallCaps/>
      <w:color w:val="5A5A5A" w:themeColor="text1" w:themeTint="A5"/>
    </w:rPr>
  </w:style>
  <w:style w:type="character" w:styleId="Nzevknihy">
    <w:name w:val="Book Title"/>
    <w:basedOn w:val="Standardnpsmoodstavce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Standardnpsmoodstavce"/>
    <w:uiPriority w:val="99"/>
  </w:style>
  <w:style w:type="character" w:customStyle="1" w:styleId="FooterChar">
    <w:name w:val="Footer Char"/>
    <w:basedOn w:val="Standardnpsmoodstavce"/>
    <w:uiPriority w:val="99"/>
  </w:style>
  <w:style w:type="paragraph" w:styleId="Titulek">
    <w:name w:val="caption"/>
    <w:basedOn w:val="Normln"/>
    <w:next w:val="Normln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Pr>
      <w:color w:val="954F72" w:themeColor="followedHyperlink"/>
      <w:u w:val="single"/>
    </w:rPr>
  </w:style>
  <w:style w:type="paragraph" w:styleId="Obsah1">
    <w:name w:val="toc 1"/>
    <w:basedOn w:val="Normln"/>
    <w:next w:val="Normln"/>
    <w:uiPriority w:val="39"/>
    <w:unhideWhenUsed/>
    <w:pPr>
      <w:spacing w:after="100"/>
    </w:pPr>
  </w:style>
  <w:style w:type="paragraph" w:styleId="Obsah2">
    <w:name w:val="toc 2"/>
    <w:basedOn w:val="Normln"/>
    <w:next w:val="Normln"/>
    <w:uiPriority w:val="39"/>
    <w:unhideWhenUsed/>
    <w:pPr>
      <w:spacing w:after="100"/>
      <w:ind w:left="220"/>
    </w:pPr>
  </w:style>
  <w:style w:type="paragraph" w:styleId="Obsah3">
    <w:name w:val="toc 3"/>
    <w:basedOn w:val="Normln"/>
    <w:next w:val="Normln"/>
    <w:uiPriority w:val="39"/>
    <w:unhideWhenUsed/>
    <w:pPr>
      <w:spacing w:after="100"/>
      <w:ind w:left="440"/>
    </w:pPr>
  </w:style>
  <w:style w:type="paragraph" w:styleId="Obsah4">
    <w:name w:val="toc 4"/>
    <w:basedOn w:val="Normln"/>
    <w:next w:val="Normln"/>
    <w:uiPriority w:val="39"/>
    <w:unhideWhenUsed/>
    <w:pPr>
      <w:spacing w:after="100"/>
      <w:ind w:left="660"/>
    </w:pPr>
  </w:style>
  <w:style w:type="paragraph" w:styleId="Obsah5">
    <w:name w:val="toc 5"/>
    <w:basedOn w:val="Normln"/>
    <w:next w:val="Normln"/>
    <w:uiPriority w:val="39"/>
    <w:unhideWhenUsed/>
    <w:pPr>
      <w:spacing w:after="100"/>
      <w:ind w:left="880"/>
    </w:pPr>
  </w:style>
  <w:style w:type="paragraph" w:styleId="Obsah6">
    <w:name w:val="toc 6"/>
    <w:basedOn w:val="Normln"/>
    <w:next w:val="Normln"/>
    <w:uiPriority w:val="39"/>
    <w:unhideWhenUsed/>
    <w:pPr>
      <w:spacing w:after="100"/>
      <w:ind w:left="1100"/>
    </w:pPr>
  </w:style>
  <w:style w:type="paragraph" w:styleId="Obsah7">
    <w:name w:val="toc 7"/>
    <w:basedOn w:val="Normln"/>
    <w:next w:val="Normln"/>
    <w:uiPriority w:val="39"/>
    <w:unhideWhenUsed/>
    <w:pPr>
      <w:spacing w:after="100"/>
      <w:ind w:left="1320"/>
    </w:pPr>
  </w:style>
  <w:style w:type="paragraph" w:styleId="Obsah8">
    <w:name w:val="toc 8"/>
    <w:basedOn w:val="Normln"/>
    <w:next w:val="Normln"/>
    <w:uiPriority w:val="39"/>
    <w:unhideWhenUsed/>
    <w:pPr>
      <w:spacing w:after="100"/>
      <w:ind w:left="1540"/>
    </w:pPr>
  </w:style>
  <w:style w:type="paragraph" w:styleId="Obsah9">
    <w:name w:val="toc 9"/>
    <w:basedOn w:val="Normln"/>
    <w:next w:val="Normln"/>
    <w:uiPriority w:val="39"/>
    <w:unhideWhenUsed/>
    <w:pPr>
      <w:spacing w:after="100"/>
      <w:ind w:left="1760"/>
    </w:pPr>
  </w:style>
  <w:style w:type="character" w:styleId="Zstupntext">
    <w:name w:val="Placeholder Text"/>
    <w:basedOn w:val="Standardnpsmoodstavce"/>
    <w:uiPriority w:val="99"/>
    <w:semiHidden/>
    <w:rPr>
      <w:color w:val="666666"/>
    </w:rPr>
  </w:style>
  <w:style w:type="paragraph" w:styleId="Nadpisobsahu">
    <w:name w:val="TOC Heading"/>
    <w:uiPriority w:val="39"/>
    <w:unhideWhenUsed/>
  </w:style>
  <w:style w:type="paragraph" w:styleId="Seznamobrzk">
    <w:name w:val="table of figures"/>
    <w:basedOn w:val="Normln"/>
    <w:next w:val="Normln"/>
    <w:uiPriority w:val="99"/>
    <w:unhideWhenUsed/>
    <w:pPr>
      <w:spacing w:after="0"/>
    </w:pPr>
  </w:style>
  <w:style w:type="table" w:styleId="Mkatabulky">
    <w:name w:val="Table Grid"/>
    <w:basedOn w:val="Normlntabulka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40F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F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7902A-DCC6-45EB-8F94-43A57615C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627</Words>
  <Characters>3700</Characters>
  <Application>Microsoft Office Word</Application>
  <DocSecurity>0</DocSecurity>
  <Lines>30</Lines>
  <Paragraphs>8</Paragraphs>
  <ScaleCrop>false</ScaleCrop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20</cp:revision>
  <dcterms:created xsi:type="dcterms:W3CDTF">2021-06-08T07:52:00Z</dcterms:created>
  <dcterms:modified xsi:type="dcterms:W3CDTF">2026-04-14T08:49:00Z</dcterms:modified>
</cp:coreProperties>
</file>